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CCE2" w14:textId="393EDDF8" w:rsidR="00FB14F6" w:rsidRPr="00BA0536" w:rsidRDefault="00D30780">
      <w:pPr>
        <w:rPr>
          <w:rFonts w:ascii="Arial" w:hAnsi="Arial" w:cs="Arial"/>
          <w:b/>
          <w:bCs/>
          <w:sz w:val="24"/>
          <w:szCs w:val="24"/>
        </w:rPr>
      </w:pPr>
      <w:r w:rsidRPr="00BA0536">
        <w:rPr>
          <w:rFonts w:ascii="Arial" w:hAnsi="Arial" w:cs="Arial"/>
          <w:b/>
          <w:bCs/>
          <w:sz w:val="24"/>
          <w:szCs w:val="24"/>
        </w:rPr>
        <w:t>2022 EZIUP AND GO Victorian Hill</w:t>
      </w:r>
      <w:r w:rsidR="00EF3894">
        <w:rPr>
          <w:rFonts w:ascii="Arial" w:hAnsi="Arial" w:cs="Arial"/>
          <w:b/>
          <w:bCs/>
          <w:sz w:val="24"/>
          <w:szCs w:val="24"/>
        </w:rPr>
        <w:t xml:space="preserve"> C</w:t>
      </w:r>
      <w:r w:rsidRPr="00BA0536">
        <w:rPr>
          <w:rFonts w:ascii="Arial" w:hAnsi="Arial" w:cs="Arial"/>
          <w:b/>
          <w:bCs/>
          <w:sz w:val="24"/>
          <w:szCs w:val="24"/>
        </w:rPr>
        <w:t>limb Championship – CLASSES</w:t>
      </w:r>
    </w:p>
    <w:p w14:paraId="670580FF" w14:textId="77777777" w:rsidR="00BA0536" w:rsidRPr="00BA0536" w:rsidRDefault="00BA0536" w:rsidP="00BA0536">
      <w:pPr>
        <w:spacing w:after="0" w:line="240" w:lineRule="auto"/>
        <w:jc w:val="both"/>
        <w:rPr>
          <w:rFonts w:ascii="Arial" w:eastAsia="Century Gothic" w:hAnsi="Arial" w:cs="Arial"/>
          <w:sz w:val="20"/>
          <w:szCs w:val="24"/>
          <w:lang w:eastAsia="en-AU"/>
        </w:rPr>
      </w:pPr>
      <w:r w:rsidRPr="00BA0536">
        <w:rPr>
          <w:rFonts w:ascii="Arial" w:eastAsia="Century Gothic" w:hAnsi="Arial" w:cs="Arial"/>
          <w:sz w:val="20"/>
          <w:szCs w:val="24"/>
          <w:lang w:eastAsia="en-AU"/>
        </w:rPr>
        <w:t xml:space="preserve">All classes in the VHCC, as listed in 5.2 of these regulations, will follow the </w:t>
      </w:r>
      <w:hyperlink r:id="rId4" w:history="1">
        <w:r w:rsidRPr="00BA0536">
          <w:rPr>
            <w:rFonts w:ascii="Arial" w:eastAsia="Century Gothic" w:hAnsi="Arial" w:cs="Arial"/>
            <w:color w:val="0563C1" w:themeColor="hyperlink"/>
            <w:sz w:val="20"/>
            <w:szCs w:val="24"/>
            <w:u w:val="single"/>
            <w:lang w:eastAsia="en-AU"/>
          </w:rPr>
          <w:t>National Speed Event Championship Classes</w:t>
        </w:r>
      </w:hyperlink>
      <w:r w:rsidRPr="00BA0536">
        <w:rPr>
          <w:rFonts w:ascii="Arial" w:eastAsia="Century Gothic" w:hAnsi="Arial" w:cs="Arial"/>
          <w:sz w:val="20"/>
          <w:szCs w:val="24"/>
          <w:lang w:eastAsia="en-AU"/>
        </w:rPr>
        <w:t>, Circuit Race Appendix classes and 5</w:t>
      </w:r>
      <w:r w:rsidRPr="00BA0536">
        <w:rPr>
          <w:rFonts w:ascii="Arial" w:eastAsia="Century Gothic" w:hAnsi="Arial" w:cs="Arial"/>
          <w:sz w:val="20"/>
          <w:szCs w:val="24"/>
          <w:vertAlign w:val="superscript"/>
          <w:lang w:eastAsia="en-AU"/>
        </w:rPr>
        <w:t>th</w:t>
      </w:r>
      <w:r w:rsidRPr="00BA0536">
        <w:rPr>
          <w:rFonts w:ascii="Arial" w:eastAsia="Century Gothic" w:hAnsi="Arial" w:cs="Arial"/>
          <w:sz w:val="20"/>
          <w:szCs w:val="24"/>
          <w:lang w:eastAsia="en-AU"/>
        </w:rPr>
        <w:t xml:space="preserve"> Category Groups as published in the Motorsport Australia Manual, save for the separation of drive type (2wd &amp; 4wd). </w:t>
      </w:r>
    </w:p>
    <w:p w14:paraId="5932B351" w14:textId="77777777" w:rsidR="00BA0536" w:rsidRPr="00BA0536" w:rsidRDefault="00BA0536" w:rsidP="00BA0536">
      <w:pPr>
        <w:spacing w:after="0" w:line="240" w:lineRule="auto"/>
        <w:jc w:val="both"/>
        <w:rPr>
          <w:rFonts w:ascii="Arial" w:eastAsia="Century Gothic" w:hAnsi="Arial" w:cs="Arial"/>
          <w:sz w:val="20"/>
          <w:szCs w:val="24"/>
          <w:lang w:eastAsia="en-AU"/>
        </w:rPr>
      </w:pPr>
    </w:p>
    <w:p w14:paraId="5F350C45" w14:textId="56A3EE4D" w:rsidR="00BA0536" w:rsidRPr="00BA0536" w:rsidRDefault="00BA0536" w:rsidP="00BA0536">
      <w:pPr>
        <w:spacing w:after="0" w:line="240" w:lineRule="auto"/>
        <w:jc w:val="both"/>
        <w:rPr>
          <w:rFonts w:ascii="Arial" w:eastAsia="Century Gothic" w:hAnsi="Arial" w:cs="Arial"/>
          <w:sz w:val="20"/>
          <w:szCs w:val="24"/>
          <w:lang w:eastAsia="en-AU"/>
        </w:rPr>
      </w:pPr>
      <w:r w:rsidRPr="00BA0536">
        <w:rPr>
          <w:rFonts w:ascii="Arial" w:eastAsia="Century Gothic" w:hAnsi="Arial" w:cs="Arial"/>
          <w:sz w:val="20"/>
          <w:szCs w:val="24"/>
          <w:lang w:eastAsia="en-AU"/>
        </w:rPr>
        <w:t>The Victorian Hill Climb Championship classes are:</w:t>
      </w:r>
    </w:p>
    <w:tbl>
      <w:tblPr>
        <w:tblW w:w="0" w:type="auto"/>
        <w:tblInd w:w="14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6065"/>
        <w:gridCol w:w="236"/>
        <w:gridCol w:w="236"/>
      </w:tblGrid>
      <w:tr w:rsidR="00BA0536" w:rsidRPr="00BA0536" w14:paraId="41F0D572" w14:textId="77777777" w:rsidTr="00F356BB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248AE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b/>
                <w:color w:val="001C4B"/>
                <w:sz w:val="20"/>
                <w:szCs w:val="24"/>
                <w:lang w:eastAsia="en-AU"/>
              </w:rPr>
              <w:t>1ST CATEGORY: RACING CARS</w:t>
            </w:r>
          </w:p>
        </w:tc>
      </w:tr>
      <w:tr w:rsidR="00BA0536" w:rsidRPr="00BA0536" w14:paraId="71E5F923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394BF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A1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24C6A8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Formula Vee</w:t>
            </w:r>
          </w:p>
        </w:tc>
      </w:tr>
      <w:tr w:rsidR="00BA0536" w:rsidRPr="00BA0536" w14:paraId="3AC6F762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93B950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A2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3906CF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Formula Ford 1600 or Formula Ford Duratec</w:t>
            </w:r>
          </w:p>
        </w:tc>
      </w:tr>
      <w:tr w:rsidR="00BA0536" w:rsidRPr="00BA0536" w14:paraId="7C57C231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D4FAD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A3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6A152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Formula Libre - up to 1300cc</w:t>
            </w:r>
          </w:p>
        </w:tc>
      </w:tr>
      <w:tr w:rsidR="00BA0536" w:rsidRPr="00BA0536" w14:paraId="6FA64153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C1D839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A4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90D774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Formula Libre - 1301 to 2000cc</w:t>
            </w:r>
          </w:p>
        </w:tc>
      </w:tr>
      <w:tr w:rsidR="00BA0536" w:rsidRPr="00BA0536" w14:paraId="341E5BC6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24F23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A5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6D9CA0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Formula Libre - 2001cc and Over</w:t>
            </w:r>
          </w:p>
        </w:tc>
      </w:tr>
      <w:tr w:rsidR="00BA0536" w:rsidRPr="00BA0536" w14:paraId="03AF979F" w14:textId="77777777" w:rsidTr="00F356BB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396DF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b/>
                <w:color w:val="001C4B"/>
                <w:sz w:val="20"/>
                <w:szCs w:val="24"/>
                <w:lang w:eastAsia="en-AU"/>
              </w:rPr>
              <w:t>2ND CATEGORY: SPORTS CARS</w:t>
            </w:r>
          </w:p>
        </w:tc>
      </w:tr>
      <w:tr w:rsidR="00BA0536" w:rsidRPr="00BA0536" w14:paraId="1B8394DE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58617E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B1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A0D121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Cars - 2WD - Clubman up to 1600cc</w:t>
            </w:r>
          </w:p>
        </w:tc>
      </w:tr>
      <w:tr w:rsidR="00BA0536" w:rsidRPr="00BA0536" w14:paraId="1E3C12D9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F2C3C5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B2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D1C1A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Cars - 2WD - Open/Closed up to 2000cc</w:t>
            </w:r>
          </w:p>
        </w:tc>
      </w:tr>
      <w:tr w:rsidR="00BA0536" w:rsidRPr="00BA0536" w14:paraId="5200B0FB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BDCFD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B3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97455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Cars - 2WD - Open/Closed 2001cc to 3000cc</w:t>
            </w:r>
          </w:p>
        </w:tc>
      </w:tr>
      <w:tr w:rsidR="00BA0536" w:rsidRPr="00BA0536" w14:paraId="1968E36C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25E54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B4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9B1D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Cars - 2WD - Open/Closed 3001cc and Over</w:t>
            </w:r>
          </w:p>
        </w:tc>
      </w:tr>
      <w:tr w:rsidR="00BA0536" w:rsidRPr="00BA0536" w14:paraId="3FE40CD1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956F0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B5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B91192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 xml:space="preserve">Prod Sports 2B &amp; 2F up to 2000cc </w:t>
            </w:r>
          </w:p>
        </w:tc>
      </w:tr>
      <w:tr w:rsidR="00BA0536" w:rsidRPr="00BA0536" w14:paraId="2731FEF6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C94A7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B6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6FA5A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 xml:space="preserve">Prod Sports 2B &amp; 2F 2001cc to 3000cc </w:t>
            </w:r>
          </w:p>
        </w:tc>
      </w:tr>
      <w:tr w:rsidR="00BA0536" w:rsidRPr="00BA0536" w14:paraId="6056895D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0EE54E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B7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7FB52F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 xml:space="preserve">Prod Sports 2B &amp; 2F 3001cc and Over </w:t>
            </w:r>
          </w:p>
        </w:tc>
      </w:tr>
      <w:tr w:rsidR="00BA0536" w:rsidRPr="00BA0536" w14:paraId="2F24FB42" w14:textId="77777777" w:rsidTr="00F356BB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E0A4F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b/>
                <w:color w:val="001C4B"/>
                <w:sz w:val="20"/>
                <w:szCs w:val="24"/>
                <w:lang w:eastAsia="en-AU"/>
              </w:rPr>
              <w:t>3RD CATEGORY: SEDANS</w:t>
            </w:r>
          </w:p>
        </w:tc>
      </w:tr>
      <w:tr w:rsidR="00BA0536" w:rsidRPr="00BA0536" w14:paraId="1E45D349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C7EBE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C1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B26126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Sedans - 2WD - up to 1600cc</w:t>
            </w:r>
          </w:p>
        </w:tc>
      </w:tr>
      <w:tr w:rsidR="00BA0536" w:rsidRPr="00BA0536" w14:paraId="629E8BB0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C7613F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C2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EAA3E6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Sedans - 2WD - 1601 to 2000cc</w:t>
            </w:r>
          </w:p>
        </w:tc>
      </w:tr>
      <w:tr w:rsidR="00BA0536" w:rsidRPr="00BA0536" w14:paraId="56319692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61D6A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C3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5685C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Sedans - 2WD - 2001cc and Over</w:t>
            </w:r>
          </w:p>
        </w:tc>
      </w:tr>
      <w:tr w:rsidR="00BA0536" w:rsidRPr="00BA0536" w14:paraId="0DBD2B00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6A3056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C4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D3027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Sports Sedans - 4WD All</w:t>
            </w:r>
          </w:p>
        </w:tc>
      </w:tr>
      <w:tr w:rsidR="00BA0536" w:rsidRPr="00BA0536" w14:paraId="08DC0DFA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768E1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C5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F5D5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Time Attack - All</w:t>
            </w:r>
          </w:p>
        </w:tc>
      </w:tr>
      <w:tr w:rsidR="00BA0536" w:rsidRPr="00BA0536" w14:paraId="23B10D21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10D49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C6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B945A2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Improved Production - 2WD - up to1600cc</w:t>
            </w:r>
          </w:p>
        </w:tc>
      </w:tr>
      <w:tr w:rsidR="00BA0536" w:rsidRPr="00BA0536" w14:paraId="6EDF991B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516415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C7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79633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Improved Production - 2WD - 1601 to 2000cc</w:t>
            </w:r>
          </w:p>
        </w:tc>
      </w:tr>
      <w:tr w:rsidR="00BA0536" w:rsidRPr="00BA0536" w14:paraId="5DEA4706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018B2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C8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3679A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Improved Production - 2WD - 2001cc and 3000cc</w:t>
            </w:r>
          </w:p>
        </w:tc>
      </w:tr>
      <w:tr w:rsidR="00BA0536" w:rsidRPr="00BA0536" w14:paraId="4D22BF78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3A757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C9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279F9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Improved Production - 2WD - 3001cc and Over</w:t>
            </w:r>
          </w:p>
        </w:tc>
      </w:tr>
      <w:tr w:rsidR="00BA0536" w:rsidRPr="00BA0536" w14:paraId="1A101F45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184758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C10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5D243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Improved Production - 4WD All</w:t>
            </w:r>
          </w:p>
        </w:tc>
      </w:tr>
      <w:tr w:rsidR="00BA0536" w:rsidRPr="00BA0536" w14:paraId="603674BF" w14:textId="77777777" w:rsidTr="00F356BB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8C661E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b/>
                <w:color w:val="001C4B"/>
                <w:sz w:val="20"/>
                <w:szCs w:val="24"/>
                <w:lang w:eastAsia="en-AU"/>
              </w:rPr>
              <w:t>HISTORIC</w:t>
            </w:r>
          </w:p>
        </w:tc>
      </w:tr>
      <w:tr w:rsidR="00BA0536" w:rsidRPr="00BA0536" w14:paraId="06934EFE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29BA4D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D1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CD990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 xml:space="preserve">Historic </w:t>
            </w:r>
            <w:r w:rsidRPr="00BA0536">
              <w:rPr>
                <w:rFonts w:ascii="Arial" w:eastAsia="Calibri" w:hAnsi="Arial" w:cs="Arial"/>
                <w:color w:val="000000"/>
                <w:sz w:val="20"/>
                <w:szCs w:val="24"/>
                <w:lang w:eastAsia="en-AU"/>
              </w:rPr>
              <w:t>– Other (All other historic groups)</w:t>
            </w:r>
          </w:p>
        </w:tc>
      </w:tr>
      <w:tr w:rsidR="00BA0536" w:rsidRPr="00BA0536" w14:paraId="2808ED4B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4A2C7B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D2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94C18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 xml:space="preserve">Historic  - Group N - up to 2000cc </w:t>
            </w:r>
          </w:p>
        </w:tc>
      </w:tr>
      <w:tr w:rsidR="00BA0536" w:rsidRPr="00BA0536" w14:paraId="2D3C2271" w14:textId="77777777" w:rsidTr="00F356BB">
        <w:trPr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40F0A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D3</w:t>
            </w:r>
          </w:p>
        </w:tc>
        <w:tc>
          <w:tcPr>
            <w:tcW w:w="65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1E6B2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Historic - Group N - 2001cc and over</w:t>
            </w:r>
          </w:p>
        </w:tc>
      </w:tr>
      <w:tr w:rsidR="00BA0536" w:rsidRPr="00BA0536" w14:paraId="258BD2D3" w14:textId="77777777" w:rsidTr="00F356BB">
        <w:trPr>
          <w:gridAfter w:val="1"/>
          <w:wAfter w:w="236" w:type="dxa"/>
          <w:trHeight w:val="1"/>
        </w:trPr>
        <w:tc>
          <w:tcPr>
            <w:tcW w:w="7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2127A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b/>
                <w:color w:val="001C4B"/>
                <w:sz w:val="20"/>
                <w:szCs w:val="24"/>
                <w:lang w:eastAsia="en-AU"/>
              </w:rPr>
              <w:t xml:space="preserve">OTHER </w:t>
            </w:r>
          </w:p>
        </w:tc>
      </w:tr>
      <w:tr w:rsidR="00BA0536" w:rsidRPr="00BA0536" w14:paraId="164AB2EC" w14:textId="77777777" w:rsidTr="00F356BB">
        <w:trPr>
          <w:gridAfter w:val="2"/>
          <w:wAfter w:w="472" w:type="dxa"/>
          <w:trHeight w:val="1"/>
        </w:trPr>
        <w:tc>
          <w:tcPr>
            <w:tcW w:w="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23AFEA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color w:val="000000"/>
                <w:sz w:val="20"/>
                <w:szCs w:val="24"/>
                <w:lang w:eastAsia="en-AU"/>
              </w:rPr>
              <w:t>F1</w:t>
            </w:r>
          </w:p>
        </w:tc>
        <w:tc>
          <w:tcPr>
            <w:tcW w:w="6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204D84" w14:textId="77777777" w:rsidR="00BA0536" w:rsidRPr="00BA0536" w:rsidRDefault="00BA0536" w:rsidP="00BA053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en-AU"/>
              </w:rPr>
            </w:pPr>
            <w:r w:rsidRPr="00BA0536">
              <w:rPr>
                <w:rFonts w:ascii="Arial" w:eastAsia="Century Gothic" w:hAnsi="Arial" w:cs="Arial"/>
                <w:b/>
                <w:bCs/>
                <w:sz w:val="20"/>
                <w:szCs w:val="24"/>
                <w:lang w:eastAsia="en-AU"/>
              </w:rPr>
              <w:t>Non-championship</w:t>
            </w:r>
            <w:r w:rsidRPr="00BA0536">
              <w:rPr>
                <w:rFonts w:ascii="Arial" w:eastAsia="Century Gothic" w:hAnsi="Arial" w:cs="Arial"/>
                <w:sz w:val="20"/>
                <w:szCs w:val="24"/>
                <w:lang w:eastAsia="en-AU"/>
              </w:rPr>
              <w:t xml:space="preserve"> Cars (a sub event at promoter’s discretion and not eligible to earn Championship Points of any kind). These vehicles are eligible to compete in the club-level component of the event – as designated in the Supplementary Regulations for that event.</w:t>
            </w:r>
          </w:p>
        </w:tc>
      </w:tr>
    </w:tbl>
    <w:p w14:paraId="4ABED43C" w14:textId="77777777" w:rsidR="00BA0536" w:rsidRPr="00BA0536" w:rsidRDefault="00BA0536" w:rsidP="00BA0536">
      <w:pPr>
        <w:spacing w:after="0" w:line="240" w:lineRule="auto"/>
        <w:jc w:val="both"/>
        <w:rPr>
          <w:rFonts w:ascii="Arial" w:eastAsia="Century Gothic" w:hAnsi="Arial" w:cs="Arial"/>
          <w:sz w:val="20"/>
          <w:szCs w:val="24"/>
          <w:lang w:eastAsia="en-AU"/>
        </w:rPr>
      </w:pPr>
    </w:p>
    <w:p w14:paraId="15E0ED19" w14:textId="2A70CFAF" w:rsidR="00BA0536" w:rsidRPr="00BA0536" w:rsidRDefault="00BA0536" w:rsidP="00BA0536">
      <w:pPr>
        <w:spacing w:after="0" w:line="240" w:lineRule="auto"/>
        <w:ind w:left="426"/>
        <w:jc w:val="both"/>
        <w:rPr>
          <w:rFonts w:ascii="Arial" w:eastAsia="Century Gothic" w:hAnsi="Arial" w:cs="Arial"/>
          <w:sz w:val="20"/>
          <w:szCs w:val="24"/>
          <w:lang w:eastAsia="en-AU"/>
        </w:rPr>
      </w:pPr>
      <w:r w:rsidRPr="00BA0536">
        <w:rPr>
          <w:rFonts w:ascii="Arial" w:eastAsia="Century Gothic" w:hAnsi="Arial" w:cs="Arial"/>
          <w:sz w:val="20"/>
          <w:szCs w:val="24"/>
          <w:lang w:eastAsia="en-AU"/>
        </w:rPr>
        <w:t>Where fewer than three competitors enter for any class at a round of the VHCC, the Promoters may, at their discretion, amalgamate the capacity breaks within any affected class.</w:t>
      </w:r>
      <w:r>
        <w:rPr>
          <w:rFonts w:ascii="Arial" w:eastAsia="Century Gothic" w:hAnsi="Arial" w:cs="Arial"/>
          <w:sz w:val="20"/>
          <w:szCs w:val="24"/>
          <w:lang w:eastAsia="en-AU"/>
        </w:rPr>
        <w:t xml:space="preserve"> </w:t>
      </w:r>
      <w:r w:rsidRPr="00BA0536">
        <w:rPr>
          <w:rFonts w:ascii="Arial" w:eastAsia="Century Gothic" w:hAnsi="Arial" w:cs="Arial"/>
          <w:sz w:val="20"/>
          <w:szCs w:val="24"/>
          <w:lang w:eastAsia="en-AU"/>
        </w:rPr>
        <w:t>(e.g. Sports Sedans Up to 1600 may be combined with any other Sports Sedan Class, but not with Improved Production).</w:t>
      </w:r>
    </w:p>
    <w:p w14:paraId="70F48FC0" w14:textId="77777777" w:rsidR="00BA0536" w:rsidRPr="00BA0536" w:rsidRDefault="00BA0536" w:rsidP="00BA0536">
      <w:pPr>
        <w:spacing w:after="0" w:line="240" w:lineRule="auto"/>
        <w:jc w:val="both"/>
        <w:rPr>
          <w:rFonts w:ascii="Arial" w:eastAsia="Century Gothic" w:hAnsi="Arial" w:cs="Arial"/>
          <w:sz w:val="20"/>
          <w:szCs w:val="24"/>
          <w:lang w:eastAsia="en-AU"/>
        </w:rPr>
      </w:pPr>
    </w:p>
    <w:p w14:paraId="713BB760" w14:textId="089286F5" w:rsidR="00BA0536" w:rsidRPr="00BA0536" w:rsidRDefault="00BA0536" w:rsidP="00BA0536">
      <w:pPr>
        <w:spacing w:after="0" w:line="240" w:lineRule="auto"/>
        <w:ind w:left="426"/>
        <w:jc w:val="both"/>
        <w:rPr>
          <w:rFonts w:ascii="Arial" w:eastAsia="Century Gothic" w:hAnsi="Arial" w:cs="Arial"/>
          <w:sz w:val="20"/>
          <w:szCs w:val="24"/>
          <w:lang w:eastAsia="en-AU"/>
        </w:rPr>
      </w:pPr>
      <w:r w:rsidRPr="00BA0536">
        <w:rPr>
          <w:rFonts w:ascii="Arial" w:eastAsia="Century Gothic" w:hAnsi="Arial" w:cs="Arial"/>
          <w:sz w:val="20"/>
          <w:szCs w:val="24"/>
          <w:lang w:eastAsia="en-AU"/>
        </w:rPr>
        <w:t>Where classes are combined run times will be migrated to their original entered class for the allocation of championship points.</w:t>
      </w:r>
    </w:p>
    <w:p w14:paraId="1AF6DD2E" w14:textId="77777777" w:rsidR="00BA0536" w:rsidRPr="00BA0536" w:rsidRDefault="00BA0536" w:rsidP="00BA0536">
      <w:pPr>
        <w:spacing w:after="0" w:line="240" w:lineRule="auto"/>
        <w:ind w:left="1276"/>
        <w:jc w:val="both"/>
        <w:rPr>
          <w:rFonts w:ascii="Arial" w:eastAsia="Century Gothic" w:hAnsi="Arial" w:cs="Arial"/>
          <w:sz w:val="20"/>
          <w:szCs w:val="24"/>
          <w:lang w:eastAsia="en-AU"/>
        </w:rPr>
      </w:pPr>
    </w:p>
    <w:p w14:paraId="0B8FF891" w14:textId="6FCD6A0E" w:rsidR="00BA0536" w:rsidRPr="00BA0536" w:rsidRDefault="00BA0536" w:rsidP="00BA0536">
      <w:pPr>
        <w:spacing w:after="0" w:line="240" w:lineRule="auto"/>
        <w:ind w:left="426"/>
        <w:jc w:val="both"/>
        <w:rPr>
          <w:rFonts w:ascii="Arial" w:eastAsia="Century Gothic" w:hAnsi="Arial" w:cs="Arial"/>
          <w:sz w:val="20"/>
          <w:szCs w:val="24"/>
          <w:lang w:eastAsia="en-AU"/>
        </w:rPr>
      </w:pPr>
      <w:r w:rsidRPr="00BA0536">
        <w:rPr>
          <w:rFonts w:ascii="Arial" w:eastAsia="Century Gothic" w:hAnsi="Arial" w:cs="Arial"/>
          <w:sz w:val="20"/>
          <w:szCs w:val="24"/>
          <w:lang w:eastAsia="en-AU"/>
        </w:rPr>
        <w:t>Provision of separate classes, including subdivision of the classes listed, is dependent upon sufficient entries being received in that class.</w:t>
      </w:r>
    </w:p>
    <w:p w14:paraId="09A4B913" w14:textId="77777777" w:rsidR="00D30780" w:rsidRPr="00BA0536" w:rsidRDefault="00D30780">
      <w:pPr>
        <w:rPr>
          <w:rFonts w:ascii="Arial" w:hAnsi="Arial" w:cs="Arial"/>
          <w:sz w:val="24"/>
          <w:szCs w:val="24"/>
        </w:rPr>
      </w:pPr>
    </w:p>
    <w:sectPr w:rsidR="00D30780" w:rsidRPr="00BA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80"/>
    <w:rsid w:val="008C364B"/>
    <w:rsid w:val="00BA0536"/>
    <w:rsid w:val="00D30780"/>
    <w:rsid w:val="00EF3894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2643"/>
  <w15:chartTrackingRefBased/>
  <w15:docId w15:val="{56A0F952-52DC-4064-BF47-283B3C85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torsport.org.au/docs/default-source/manual/speed/2021/sp11_speedevents_national_championship_classes.pdf?sfvrsn=ed0559fb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Read</dc:creator>
  <cp:keywords/>
  <dc:description/>
  <cp:lastModifiedBy>Ananda Iyer</cp:lastModifiedBy>
  <cp:revision>2</cp:revision>
  <dcterms:created xsi:type="dcterms:W3CDTF">2021-12-14T13:06:00Z</dcterms:created>
  <dcterms:modified xsi:type="dcterms:W3CDTF">2021-12-14T13:06:00Z</dcterms:modified>
</cp:coreProperties>
</file>